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31B" w:rsidRDefault="0053031B" w:rsidP="0053031B">
      <w:pPr>
        <w:pStyle w:val="NoSpacing"/>
        <w:rPr>
          <w:b/>
          <w:lang w:eastAsia="ru-RU"/>
        </w:rPr>
      </w:pPr>
      <w:r w:rsidRPr="00DB2664">
        <w:rPr>
          <w:b/>
          <w:lang w:eastAsia="ru-RU"/>
        </w:rPr>
        <w:t xml:space="preserve">Лекция </w:t>
      </w:r>
      <w:r w:rsidRPr="00436E1C">
        <w:rPr>
          <w:b/>
          <w:lang w:eastAsia="ru-RU"/>
        </w:rPr>
        <w:t>11. Система сотовой подвижной связи стандарта D-AMPS</w:t>
      </w:r>
    </w:p>
    <w:p w:rsidR="0053031B" w:rsidRDefault="0053031B" w:rsidP="0053031B">
      <w:pPr>
        <w:pStyle w:val="NoSpacing"/>
        <w:rPr>
          <w:b/>
          <w:lang w:eastAsia="ru-RU"/>
        </w:rPr>
      </w:pPr>
    </w:p>
    <w:p w:rsidR="0053031B" w:rsidRDefault="0053031B" w:rsidP="0053031B">
      <w:pPr>
        <w:pStyle w:val="NoSpacing"/>
      </w:pPr>
      <w:r w:rsidRPr="00E9205C">
        <w:t>11.1. Принципы построения и общие характеристики</w:t>
      </w:r>
    </w:p>
    <w:p w:rsidR="0053031B" w:rsidRPr="00E9205C" w:rsidRDefault="0053031B" w:rsidP="0053031B">
      <w:pPr>
        <w:pStyle w:val="NoSpacing"/>
      </w:pPr>
      <w:r>
        <w:t>11.2.Состав оборудования и принципы функционирования</w:t>
      </w:r>
    </w:p>
    <w:p w:rsidR="0053031B" w:rsidRDefault="0053031B" w:rsidP="0053031B">
      <w:pPr>
        <w:pStyle w:val="NoSpacing"/>
        <w:rPr>
          <w:b/>
          <w:lang w:eastAsia="ru-RU"/>
        </w:rPr>
      </w:pPr>
    </w:p>
    <w:p w:rsidR="0053031B" w:rsidRDefault="0053031B" w:rsidP="0053031B">
      <w:pPr>
        <w:pStyle w:val="NoSpacing"/>
        <w:rPr>
          <w:b/>
          <w:lang w:eastAsia="ru-RU"/>
        </w:rPr>
      </w:pPr>
    </w:p>
    <w:p w:rsidR="0053031B" w:rsidRPr="00436E1C" w:rsidRDefault="0053031B" w:rsidP="0053031B">
      <w:pPr>
        <w:pStyle w:val="NoSpacing"/>
        <w:rPr>
          <w:b/>
          <w:lang w:eastAsia="ru-RU"/>
        </w:rPr>
      </w:pPr>
      <w:r>
        <w:rPr>
          <w:b/>
          <w:lang w:eastAsia="ru-RU"/>
        </w:rPr>
        <w:t xml:space="preserve">11.1. </w:t>
      </w:r>
      <w:r w:rsidRPr="00436E1C">
        <w:rPr>
          <w:b/>
          <w:lang w:eastAsia="ru-RU"/>
        </w:rPr>
        <w:t>Принципы построения и общие характеристики</w:t>
      </w:r>
    </w:p>
    <w:p w:rsidR="0053031B" w:rsidRDefault="0053031B" w:rsidP="0053031B">
      <w:pPr>
        <w:pStyle w:val="NoSpacing"/>
        <w:rPr>
          <w:noProof/>
          <w:lang w:eastAsia="ru-RU"/>
        </w:rPr>
      </w:pPr>
      <w:r w:rsidRPr="009163F2">
        <w:rPr>
          <w:lang w:eastAsia="ru-RU"/>
        </w:rPr>
        <w:t>Стандарт сотовой подвижной связи D-AMPS был разработан и принят к использованию в США в 1990 г. Необходимость его создания была обусловлена тем, что существовавшая национальная аналоговая сотовая система связи стандарта уже перестала отвечать требованиям, предъявляемым к системам подвижной связи: из-за малой пропускной способности, недостаточного качества связи, ограниченного набора услуг, отсутствия засекречивания передаваемых сообщений и т.п. В отличие от Европы, где для вновь разрабатываемой цифровой системы стандарта GSM был выделен отдельный частотный диапазон, в США не удалось обеспечить новую разработку собственной полосой частот, поэтому было принято решение о совместном использовании в одной полосе частот систем двух стандартов: аналогового AMPS и нового цифрового D-AMPS, сохранив при этом существовавший в аналоговой системе разнос частот между каналами, равный 30 кГц.</w:t>
      </w:r>
      <w:r w:rsidRPr="00BC16F6">
        <w:rPr>
          <w:noProof/>
          <w:lang w:eastAsia="ru-RU"/>
        </w:rPr>
        <w:t xml:space="preserve"> </w:t>
      </w:r>
    </w:p>
    <w:p w:rsidR="0053031B" w:rsidRDefault="0053031B" w:rsidP="0053031B">
      <w:pPr>
        <w:pStyle w:val="NoSpacing"/>
        <w:rPr>
          <w:noProof/>
          <w:lang w:eastAsia="ru-RU"/>
        </w:rPr>
      </w:pP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09540214" wp14:editId="76E0610D">
            <wp:simplePos x="0" y="0"/>
            <wp:positionH relativeFrom="column">
              <wp:posOffset>152400</wp:posOffset>
            </wp:positionH>
            <wp:positionV relativeFrom="paragraph">
              <wp:posOffset>-1148715</wp:posOffset>
            </wp:positionV>
            <wp:extent cx="2160000" cy="2199055"/>
            <wp:effectExtent l="0" t="0" r="0" b="0"/>
            <wp:wrapTight wrapText="bothSides">
              <wp:wrapPolygon edited="0">
                <wp:start x="0" y="0"/>
                <wp:lineTo x="0" y="21332"/>
                <wp:lineTo x="21340" y="21332"/>
                <wp:lineTo x="21340" y="0"/>
                <wp:lineTo x="0" y="0"/>
              </wp:wrapPolygon>
            </wp:wrapTight>
            <wp:docPr id="1" name="Picture 1" descr="Рис. 9.2. Структурная схема канального кодирования стандарта D-AMPS (ADC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Рис. 9.2. Структурная схема канального кодирования стандарта D-AMPS (ADC)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1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31B" w:rsidRPr="00436E1C" w:rsidRDefault="0053031B" w:rsidP="0053031B">
      <w:pPr>
        <w:pStyle w:val="NoSpacing"/>
        <w:rPr>
          <w:b/>
          <w:lang w:eastAsia="ru-RU"/>
        </w:rPr>
      </w:pPr>
      <w:r>
        <w:rPr>
          <w:b/>
          <w:lang w:eastAsia="ru-RU"/>
        </w:rPr>
        <w:t>11.2.</w:t>
      </w:r>
      <w:r w:rsidRPr="00436E1C">
        <w:rPr>
          <w:b/>
          <w:lang w:eastAsia="ru-RU"/>
        </w:rPr>
        <w:t>Состав оборудования и принципы функционирования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Состав оборудования и его функциональное назначение почти полностью повторяют соответствующие положения стандарта GSM. Структурная схема сотовой системы связи стандарта D-AMPS (ADC) представлена на рисунке 6.10. В этом стандарте для преобразования аналогового речевого сигнала в цифровую форму используется кодер VSELP. Аналоговый сигнал речевого диапазона разбивается на сегменты длительностью по 20 мс, которые преобразуются в 159 кодированных бит, передаваемых со скоростью 7,95 Кбит/с.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8F81ADF" wp14:editId="012BAD44">
            <wp:simplePos x="0" y="0"/>
            <wp:positionH relativeFrom="column">
              <wp:posOffset>0</wp:posOffset>
            </wp:positionH>
            <wp:positionV relativeFrom="paragraph">
              <wp:posOffset>-1905</wp:posOffset>
            </wp:positionV>
            <wp:extent cx="2879725" cy="1339850"/>
            <wp:effectExtent l="0" t="0" r="0" b="0"/>
            <wp:wrapThrough wrapText="bothSides">
              <wp:wrapPolygon edited="0">
                <wp:start x="0" y="0"/>
                <wp:lineTo x="0" y="21191"/>
                <wp:lineTo x="21433" y="21191"/>
                <wp:lineTo x="21433" y="0"/>
                <wp:lineTo x="0" y="0"/>
              </wp:wrapPolygon>
            </wp:wrapThrough>
            <wp:docPr id="2" name="Picture 2" descr="Рисунок 6.10. Структурная схема сотовой системы связи стандарта D-AMPS (ADC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Рисунок 6.10. Структурная схема сотовой системы связи стандарта D-AMPS (ADC)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Рисунок 6.10. Структурная схема сотовой системы связи стандарта D-AMPS (ADC)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Далее эти данные подвергаются канальному кодированию, для чего используется сверточный код со скоростью r= 1/2. При этом пакет, поступающий от речевого кодера, состоящий из 159 бит, делится на две группы: 1 — 77 бит, 2 — 82 бита. В группе 1 осуществляется указанное выше сверточное кодирование, причем 7 бит используются для обнаружения ошибок. Биты 2-й группы передаются без кодирования, В результате преобразований в канальном кодере речевой фрагмент длительностью 20 мс представляется 260 битами, что соответствует скорости передачи 13 Кбит/с. Структурная схема канального кодирования представлена на рис. 9.2. Результирующая скорость (по результатам формирования TDMA-кадра) составляет 16,2 Кбит/с в расчете на одного абонента.</w:t>
      </w:r>
    </w:p>
    <w:p w:rsidR="0053031B" w:rsidRPr="009163F2" w:rsidRDefault="0053031B" w:rsidP="0053031B">
      <w:pPr>
        <w:pStyle w:val="NoSpacing"/>
        <w:rPr>
          <w:lang w:eastAsia="ru-RU"/>
        </w:rPr>
      </w:pP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Рис. 9.2. Структурная схема канального кодирования стандарта D-AMPS (ADC)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Пакет из 260 кодированных бит в дальнейшем подвергается перемещению, принцип которого поясняется рис. 9.3. Любой речевой фрагмент разбивается на две равных части. Одна из этих частей передается в исходном окне фрагмента, а другая — в окне, сдвинутом на три окна (например, в окнах 1 и 4).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3A2AB6D" wp14:editId="12971E0A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879725" cy="806450"/>
            <wp:effectExtent l="0" t="0" r="0" b="0"/>
            <wp:wrapTight wrapText="bothSides">
              <wp:wrapPolygon edited="0">
                <wp:start x="0" y="0"/>
                <wp:lineTo x="0" y="20920"/>
                <wp:lineTo x="21433" y="20920"/>
                <wp:lineTo x="21433" y="0"/>
                <wp:lineTo x="0" y="0"/>
              </wp:wrapPolygon>
            </wp:wrapTight>
            <wp:docPr id="3" name="Picture 3" descr="Рис. 9.3. Организация перемещения пакета кодированных 6ит в стандарте D-AMP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Рис. 9.3. Организация перемещения пакета кодированных 6ит в стандарте D-AMPS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lastRenderedPageBreak/>
        <w:t>Рис. 9.3. Организация перемещения пакета кодированных 6ит в стандарте D-AMPS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Для передачи сообщений по радиоканалу используется спектрально-эффективная p/4 DQPSK-модуляция, реализуемая квадратурной схемой с прямым переносом на несущую частоту,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Структура TDMA-кадров в прямом и обратном каналах для стандарта с полускоростным речевым каналом представлена на рис. 9.4.</w:t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A680F66" wp14:editId="1523AB9B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3599815" cy="1199515"/>
            <wp:effectExtent l="0" t="0" r="635" b="635"/>
            <wp:wrapTight wrapText="bothSides">
              <wp:wrapPolygon edited="0">
                <wp:start x="0" y="0"/>
                <wp:lineTo x="0" y="21268"/>
                <wp:lineTo x="21490" y="21268"/>
                <wp:lineTo x="21490" y="0"/>
                <wp:lineTo x="0" y="0"/>
              </wp:wrapPolygon>
            </wp:wrapTight>
            <wp:docPr id="4" name="Picture 4" descr="Рис. 9.4. Структура кадров для стандарта с полускоростным речевым канал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Рис. 9.4. Структура кадров для стандарта с полускоростным речевым каналом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031B" w:rsidRPr="009163F2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Рис. 9.4. Структура кадров для стандарта с полускоростным речевым каналом</w:t>
      </w:r>
    </w:p>
    <w:p w:rsidR="0053031B" w:rsidRDefault="0053031B" w:rsidP="0053031B">
      <w:pPr>
        <w:pStyle w:val="NoSpacing"/>
        <w:rPr>
          <w:lang w:eastAsia="ru-RU"/>
        </w:rPr>
      </w:pPr>
      <w:r w:rsidRPr="009163F2">
        <w:rPr>
          <w:lang w:eastAsia="ru-RU"/>
        </w:rPr>
        <w:t>В качестве базовой станции этого стандарта для систем сотовой связи может использоваться, например, компактная станция RBS 884 Indoor. Она обеспечивает максимальную гибкость при конфигурировании системы и значительную абонентскую емкость сети.</w:t>
      </w:r>
    </w:p>
    <w:p w:rsidR="0053031B" w:rsidRPr="009163F2" w:rsidRDefault="0053031B" w:rsidP="0053031B">
      <w:pPr>
        <w:pStyle w:val="NoSpacing"/>
        <w:rPr>
          <w:lang w:eastAsia="ru-RU"/>
        </w:rPr>
      </w:pPr>
    </w:p>
    <w:p w:rsidR="00E10DA9" w:rsidRDefault="0053031B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CB"/>
    <w:rsid w:val="000A3B22"/>
    <w:rsid w:val="0053031B"/>
    <w:rsid w:val="00916217"/>
    <w:rsid w:val="00D9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031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03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2020-09-26T12:02:00Z</dcterms:created>
  <dcterms:modified xsi:type="dcterms:W3CDTF">2020-09-26T12:02:00Z</dcterms:modified>
</cp:coreProperties>
</file>